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rPr>
          <w:rFonts w:ascii="Malayalam Sangam MN" w:cs="Malayalam Sangam MN" w:hAnsi="Malayalam Sangam MN" w:eastAsia="Malayalam Sangam MN"/>
        </w:rPr>
      </w:pPr>
      <w:r>
        <w:rPr>
          <w:rFonts w:ascii="Malayalam Sangam MN" w:hAnsi="Malayalam Sangam MN"/>
          <w:rtl w:val="0"/>
          <w:lang w:val="en-US"/>
        </w:rPr>
        <w:t>The Equality Act says there's a duty</w:t>
      </w:r>
      <w:r>
        <w:rPr>
          <w:rFonts w:ascii="Malayalam Sangam MN" w:hAnsi="Malayalam Sangam MN"/>
          <w:rtl w:val="0"/>
          <w:lang w:val="en-US"/>
        </w:rPr>
        <w:t xml:space="preserve"> on Aberdeen Blueberry Wellness (ABW) </w:t>
      </w:r>
      <w:r>
        <w:rPr>
          <w:rFonts w:ascii="Malayalam Sangam MN" w:hAnsi="Malayalam Sangam MN"/>
          <w:rtl w:val="0"/>
          <w:lang w:val="en-US"/>
        </w:rPr>
        <w:t xml:space="preserve"> to make reasonable adjustments if </w:t>
      </w:r>
      <w:r>
        <w:rPr>
          <w:rFonts w:ascii="Malayalam Sangam MN" w:hAnsi="Malayalam Sangam MN"/>
          <w:rtl w:val="0"/>
          <w:lang w:val="en-US"/>
        </w:rPr>
        <w:t xml:space="preserve">a student is </w:t>
      </w:r>
      <w:r>
        <w:rPr>
          <w:rFonts w:ascii="Malayalam Sangam MN" w:hAnsi="Malayalam Sangam MN"/>
          <w:rtl w:val="0"/>
          <w:lang w:val="en-US"/>
        </w:rPr>
        <w:t xml:space="preserve">placed at a substantial disadvantage because of </w:t>
      </w:r>
      <w:r>
        <w:rPr>
          <w:rFonts w:ascii="Malayalam Sangam MN" w:hAnsi="Malayalam Sangam MN"/>
          <w:rtl w:val="0"/>
          <w:lang w:val="en-US"/>
        </w:rPr>
        <w:t>their</w:t>
      </w:r>
      <w:r>
        <w:rPr>
          <w:rFonts w:ascii="Malayalam Sangam MN" w:hAnsi="Malayalam Sangam MN"/>
          <w:rtl w:val="0"/>
          <w:lang w:val="en-US"/>
        </w:rPr>
        <w:t xml:space="preserve"> disability compared with non-disabled people or people who don't share your disability. Substantial means more than minor or trivial.</w:t>
      </w:r>
    </w:p>
    <w:p>
      <w:pPr>
        <w:pStyle w:val="Body"/>
        <w:rPr>
          <w:rFonts w:ascii="Malayalam Sangam MN" w:cs="Malayalam Sangam MN" w:hAnsi="Malayalam Sangam MN" w:eastAsia="Malayalam Sangam MN"/>
        </w:rPr>
      </w:pPr>
    </w:p>
    <w:p>
      <w:pPr>
        <w:pStyle w:val="Body"/>
        <w:rPr>
          <w:rFonts w:ascii="Malayalam Sangam MN" w:cs="Malayalam Sangam MN" w:hAnsi="Malayalam Sangam MN" w:eastAsia="Malayalam Sangam MN"/>
        </w:rPr>
      </w:pPr>
      <w:r>
        <w:rPr>
          <w:rFonts w:ascii="Malayalam Sangam MN" w:hAnsi="Malayalam Sangam MN"/>
          <w:rtl w:val="0"/>
          <w:lang w:val="en-US"/>
        </w:rPr>
        <w:t>A reasonable adjustment is any supportive action that</w:t>
      </w:r>
      <w:r>
        <w:rPr>
          <w:rFonts w:ascii="Malayalam Sangam MN" w:hAnsi="Malayalam Sangam MN"/>
          <w:rtl w:val="0"/>
          <w:lang w:val="en-US"/>
        </w:rPr>
        <w:t xml:space="preserve"> ABW can take which</w:t>
      </w:r>
      <w:r>
        <w:rPr>
          <w:rFonts w:ascii="Malayalam Sangam MN" w:hAnsi="Malayalam Sangam MN"/>
          <w:rtl w:val="0"/>
          <w:lang w:val="en-US"/>
        </w:rPr>
        <w:t xml:space="preserve"> helps to reduce the barriers </w:t>
      </w:r>
      <w:r>
        <w:rPr>
          <w:rFonts w:ascii="Malayalam Sangam MN" w:hAnsi="Malayalam Sangam MN"/>
          <w:rtl w:val="0"/>
          <w:lang w:val="en-US"/>
        </w:rPr>
        <w:t xml:space="preserve">a student or </w:t>
      </w:r>
      <w:r>
        <w:rPr>
          <w:rFonts w:ascii="Malayalam Sangam MN" w:hAnsi="Malayalam Sangam MN"/>
          <w:rtl w:val="0"/>
          <w:lang w:val="en-US"/>
        </w:rPr>
        <w:t>individual may face because of their disability or physical or mental health condition and ensures that they are not substantially disadvantaged during training, development, assessment or qualification.</w:t>
      </w:r>
    </w:p>
    <w:p>
      <w:pPr>
        <w:pStyle w:val="Body"/>
        <w:rPr>
          <w:rFonts w:ascii="Malayalam Sangam MN" w:cs="Malayalam Sangam MN" w:hAnsi="Malayalam Sangam MN" w:eastAsia="Malayalam Sangam MN"/>
        </w:rPr>
      </w:pPr>
    </w:p>
    <w:p>
      <w:pPr>
        <w:pStyle w:val="Body"/>
        <w:rPr>
          <w:rFonts w:ascii="Malayalam Sangam MN" w:cs="Malayalam Sangam MN" w:hAnsi="Malayalam Sangam MN" w:eastAsia="Malayalam Sangam MN"/>
        </w:rPr>
      </w:pPr>
    </w:p>
    <w:p>
      <w:pPr>
        <w:pStyle w:val="Body"/>
        <w:rPr>
          <w:rFonts w:ascii="Malayalam Sangam MN" w:cs="Malayalam Sangam MN" w:hAnsi="Malayalam Sangam MN" w:eastAsia="Malayalam Sangam MN"/>
        </w:rPr>
      </w:pPr>
      <w:r>
        <w:rPr>
          <w:rFonts w:ascii="Malayalam Sangam MN" w:hAnsi="Malayalam Sangam MN"/>
          <w:rtl w:val="0"/>
          <w:lang w:val="en-US"/>
        </w:rPr>
        <w:t xml:space="preserve">Practices that facilitate making reasonable adjustments include: </w:t>
      </w:r>
    </w:p>
    <w:p>
      <w:pPr>
        <w:pStyle w:val="Body"/>
        <w:numPr>
          <w:ilvl w:val="0"/>
          <w:numId w:val="2"/>
        </w:numPr>
        <w:rPr>
          <w:rFonts w:ascii="Malayalam Sangam MN" w:hAnsi="Malayalam Sangam MN"/>
          <w:lang w:val="en-US"/>
        </w:rPr>
      </w:pPr>
      <w:r>
        <w:rPr>
          <w:rFonts w:ascii="Malayalam Sangam MN" w:hAnsi="Malayalam Sangam MN"/>
          <w:rtl w:val="0"/>
          <w:lang w:val="en-US"/>
        </w:rPr>
        <w:t xml:space="preserve">encouraging early learner disclosure of disability or ongoing ill health; </w:t>
      </w:r>
    </w:p>
    <w:p>
      <w:pPr>
        <w:pStyle w:val="Body"/>
        <w:numPr>
          <w:ilvl w:val="0"/>
          <w:numId w:val="2"/>
        </w:numPr>
        <w:rPr>
          <w:rFonts w:ascii="Malayalam Sangam MN" w:hAnsi="Malayalam Sangam MN"/>
          <w:lang w:val="en-US"/>
        </w:rPr>
      </w:pPr>
      <w:r>
        <w:rPr>
          <w:rFonts w:ascii="Malayalam Sangam MN" w:hAnsi="Malayalam Sangam MN"/>
          <w:rtl w:val="0"/>
          <w:lang w:val="en-US"/>
        </w:rPr>
        <w:t xml:space="preserve">gathering relevant supporting information (including evidence of need); </w:t>
      </w:r>
    </w:p>
    <w:p>
      <w:pPr>
        <w:pStyle w:val="Body"/>
        <w:numPr>
          <w:ilvl w:val="0"/>
          <w:numId w:val="2"/>
        </w:numPr>
        <w:rPr>
          <w:rFonts w:ascii="Malayalam Sangam MN" w:hAnsi="Malayalam Sangam MN"/>
          <w:lang w:val="en-US"/>
        </w:rPr>
      </w:pPr>
      <w:r>
        <w:rPr>
          <w:rFonts w:ascii="Malayalam Sangam MN" w:hAnsi="Malayalam Sangam MN"/>
          <w:rtl w:val="0"/>
          <w:lang w:val="en-US"/>
        </w:rPr>
        <w:t xml:space="preserve">considering each learner individually; and </w:t>
      </w:r>
    </w:p>
    <w:p>
      <w:pPr>
        <w:pStyle w:val="Body"/>
        <w:numPr>
          <w:ilvl w:val="0"/>
          <w:numId w:val="2"/>
        </w:numPr>
        <w:rPr>
          <w:rFonts w:ascii="Malayalam Sangam MN" w:hAnsi="Malayalam Sangam MN"/>
          <w:lang w:val="en-US"/>
        </w:rPr>
      </w:pPr>
      <w:r>
        <w:rPr>
          <w:rFonts w:ascii="Malayalam Sangam MN" w:hAnsi="Malayalam Sangam MN"/>
          <w:rtl w:val="0"/>
          <w:lang w:val="en-US"/>
        </w:rPr>
        <w:t>consulting with the learner and others.</w:t>
      </w:r>
    </w:p>
    <w:p>
      <w:pPr>
        <w:pStyle w:val="Body"/>
        <w:rPr>
          <w:rFonts w:ascii="Malayalam Sangam MN" w:cs="Malayalam Sangam MN" w:hAnsi="Malayalam Sangam MN" w:eastAsia="Malayalam Sangam MN"/>
        </w:rPr>
      </w:pPr>
    </w:p>
    <w:p>
      <w:pPr>
        <w:pStyle w:val="Body"/>
        <w:rPr>
          <w:rFonts w:ascii="Malayalam Sangam MN" w:cs="Malayalam Sangam MN" w:hAnsi="Malayalam Sangam MN" w:eastAsia="Malayalam Sangam MN"/>
        </w:rPr>
      </w:pPr>
      <w:r>
        <w:rPr>
          <w:rFonts w:ascii="Malayalam Sangam MN" w:hAnsi="Malayalam Sangam MN"/>
          <w:rtl w:val="0"/>
          <w:lang w:val="en-US"/>
        </w:rPr>
        <w:t xml:space="preserve">The term 'reasonable adjustment' refers to any administrative, environmental or procedural changes that enable a person with disability to have equal employment opportunity </w:t>
      </w:r>
      <w:r>
        <w:rPr>
          <w:rFonts w:ascii="Malayalam Sangam MN" w:hAnsi="Malayalam Sangam MN"/>
          <w:rtl w:val="0"/>
          <w:lang w:val="en-US"/>
        </w:rPr>
        <w:t xml:space="preserve">in learning </w:t>
      </w:r>
      <w:r>
        <w:rPr>
          <w:rFonts w:ascii="Malayalam Sangam MN" w:hAnsi="Malayalam Sangam MN"/>
          <w:rtl w:val="0"/>
          <w:lang w:val="en-US"/>
        </w:rPr>
        <w:t xml:space="preserve">and </w:t>
      </w:r>
      <w:r>
        <w:rPr>
          <w:rFonts w:ascii="Malayalam Sangam MN" w:hAnsi="Malayalam Sangam MN"/>
          <w:rtl w:val="0"/>
          <w:lang w:val="en-US"/>
        </w:rPr>
        <w:t xml:space="preserve">can </w:t>
      </w:r>
      <w:r>
        <w:rPr>
          <w:rFonts w:ascii="Malayalam Sangam MN" w:hAnsi="Malayalam Sangam MN"/>
          <w:rtl w:val="0"/>
          <w:lang w:val="en-US"/>
        </w:rPr>
        <w:t>work effectively and comfortably.</w:t>
      </w:r>
    </w:p>
    <w:p>
      <w:pPr>
        <w:pStyle w:val="Body"/>
        <w:rPr>
          <w:rFonts w:ascii="Malayalam Sangam MN" w:cs="Malayalam Sangam MN" w:hAnsi="Malayalam Sangam MN" w:eastAsia="Malayalam Sangam MN"/>
        </w:rPr>
      </w:pPr>
    </w:p>
    <w:p>
      <w:pPr>
        <w:pStyle w:val="Body"/>
        <w:rPr>
          <w:rFonts w:ascii="Malayalam Sangam MN" w:cs="Malayalam Sangam MN" w:hAnsi="Malayalam Sangam MN" w:eastAsia="Malayalam Sangam MN"/>
        </w:rPr>
      </w:pPr>
    </w:p>
    <w:p>
      <w:pPr>
        <w:pStyle w:val="Body"/>
        <w:rPr>
          <w:rFonts w:ascii="Malayalam Sangam MN" w:cs="Malayalam Sangam MN" w:hAnsi="Malayalam Sangam MN" w:eastAsia="Malayalam Sangam MN"/>
        </w:rPr>
      </w:pPr>
    </w:p>
    <w:p>
      <w:pPr>
        <w:pStyle w:val="Body"/>
        <w:rPr>
          <w:rFonts w:ascii="Malayalam Sangam MN" w:cs="Malayalam Sangam MN" w:hAnsi="Malayalam Sangam MN" w:eastAsia="Malayalam Sangam MN"/>
        </w:rPr>
      </w:pPr>
    </w:p>
    <w:p>
      <w:pPr>
        <w:pStyle w:val="Body"/>
        <w:tabs>
          <w:tab w:val="left" w:pos="504"/>
          <w:tab w:val="left" w:pos="1008"/>
        </w:tabs>
        <w:bidi w:val="0"/>
        <w:ind w:left="0" w:right="0" w:firstLine="0"/>
        <w:jc w:val="left"/>
        <w:rPr>
          <w:rtl w:val="0"/>
        </w:rPr>
      </w:pPr>
      <w:r>
        <w:rPr>
          <w:rFonts w:ascii="Malayalam Sangam MN" w:hAnsi="Malayalam Sangam MN"/>
          <w:u w:color="000000"/>
          <w:rtl w:val="0"/>
          <w:lang w:val="en-US"/>
        </w:rPr>
        <w:t>**Reviewed March 2025**</w:t>
      </w:r>
      <w:r>
        <w:rPr>
          <w:rFonts w:ascii="Malayalam Sangam MN" w:cs="Malayalam Sangam MN" w:hAnsi="Malayalam Sangam MN" w:eastAsia="Malayalam Sangam MN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alayalam Sangam M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en-US"/>
      </w:rPr>
      <w:t xml:space="preserve">Reasonable Adjustment &amp; </w:t>
    </w: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rPr/>
      <w:fldChar w:fldCharType="end" w:fldLock="0"/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en-US"/>
      </w:rPr>
      <w:t xml:space="preserve">Special Consideration </w:t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en-US"/>
      </w:rPr>
      <w:t>Policy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2628294" cy="960338"/>
          <wp:effectExtent l="0" t="0" r="0" b="0"/>
          <wp:docPr id="1073741825" name="officeArt object" descr="pasted-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jpeg" descr="pasted-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294" cy="9603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rPr>
        <w:rtl w:val="0"/>
        <w:lang w:val="en-US"/>
      </w:rPr>
      <w:t>March 2023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